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LISTAS DE MATERIALES QUINTO AÑO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LA MOCHILA: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● 2 cuadernolas cosidas tapa dura SIN ESPIRAL de 96 hojas (amarillo y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azul)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● 1 cuadernola cosidas tapa dura SIN ESPIRAL de 96 hojas color rojo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● 1 cuaderno de 48 hojas para comunicados con forro verde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b w:val="1"/>
          <w:bCs w:val="1"/>
          <w:rtl w:val="0"/>
        </w:rPr>
        <w:t xml:space="preserve">Cartuchera completa: </w:t>
      </w:r>
      <w:r w:rsidDel="00000000" w:rsidR="00000000" w:rsidRPr="00000000">
        <w:rPr>
          <w:rtl w:val="0"/>
        </w:rPr>
        <w:t xml:space="preserve">lápiz mecánico o común 2b, sacapuntas, goma,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tijera, una regla chica, lápices de colores, marcadores y 1 cascola de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barra.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● 1 juego de geometría completo (no flexible)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● 1 compás (Staedtler o Maped)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● 1 candado para locker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Todo debe venir identificado con nombre y apellido.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PARA LA BIBLIOTECA </w:t>
      </w:r>
      <w:r w:rsidDel="00000000" w:rsidR="00000000" w:rsidRPr="00000000">
        <w:rPr>
          <w:rtl w:val="0"/>
        </w:rPr>
        <w:t xml:space="preserve">Identificado con nombre y apellido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1 cascola de 250 grs.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1 silicona de 250 grs.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2 blocks de 20 hojas caballito blancas de 1/8 w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1 block de 10 hojas caballito blancas de 1/4 w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1 block de cartulina a color liso A4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1 block de goma eva A4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1 block de papel afiche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1 libro de su gusto y acorde a la edad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1 set de 12 témperas comunes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1 set de 6 témperas flúor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1 set de pinceles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1 camisa, túnica o delantal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1 cinta papel (cinta pintor)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2 marcadores permanentes negro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HIGIENE Y CUIDADO PERSONAl: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Estuche con: Cepillo de dientes y pasta dental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Gorro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Todo debe venir identificado con nombre y apellido.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Documentación para ser entregada en la entrevista individual en febrero o subir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 GCE: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Fotocopia de cédula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Fotocopia del carné pediátrico, página 24 (aptitud física)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b w:val="1"/>
          <w:bCs w:val="1"/>
          <w:rtl w:val="0"/>
        </w:rPr>
        <w:t xml:space="preserve"> LIBRO DE TEXTO: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Historia y Formación para la Ciudadanía 5° año, Editorial Contexto.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